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204/04 vom 13. Dezember 2004</w:t>
      </w:r>
    </w:p>
    <w:p>
      <w:r>
        <w:t>Bundesstrafgericht, 2004-12-13, IT</w:t>
      </w:r>
    </w:p>
    <w:p>
      <w:r>
        <w:rPr>
          <w:b/>
        </w:rPr>
        <w:t xml:space="preserve">Quelle: </w:t>
      </w:r>
      <w:r>
        <w:t>https://mcp.opencaselaw.ch/entscheid/bstger_BK_H 204_04</w:t>
      </w:r>
    </w:p>
    <w:p>
      <w:r>
        <w:t>FR: TPF BK_H 204/04 du 13 décembre 2004</w:t>
      </w:r>
    </w:p>
    <w:p>
      <w:r>
        <w:t>IT: TPF BK_H 204/04 del 13 dicembre 2004</w:t>
      </w:r>
    </w:p>
    <w:p>
      <w:pPr>
        <w:pStyle w:val="Heading2"/>
      </w:pPr>
      <w:r>
        <w:t>Regeste</w:t>
      </w:r>
    </w:p>
    <w:p>
      <w:r>
        <w:t>Domanda di scarcerazione (art. 52 PP)</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 Giusta l’art. 52 cpv. 1 PP, l’imputato può in ogni tempo domandare di esse- re messo in libertà. Se il giudice istruttore o il procuratore respingono la domanda, l’imputato ha diritto di reclamo alla Corte dei reclami penali (art.</w:t>
      </w:r>
    </w:p>
    <w:p>
      <w:r>
        <w:t>- 4 -</w:t>
      </w:r>
    </w:p>
    <w:p>
      <w:r>
        <w:t>52 cpv. 2 PP); la procedura è retta dagli art. 214 a 219 PP. Il ricorso deve essere presentato entro cinque giorni a contare dal giorno in cui il ricorrente ha avuto conoscenza dell’atto od omissione in questione (art. 217 PP). La decisione impugnata è stata inviata l’8 novembre 2004 al patrocinatore del reclamante, il quale ne ha preso conoscenza il 9 novembre. Il reclamo, in- terposto il 12 novembre 2004, è dunque tempestivo. La legittimazione ri- corsuale dell’imputato è pacifica.</w:t>
      </w:r>
    </w:p>
    <w:p>
      <w:r>
        <w:rPr>
          <w:b/>
        </w:rPr>
        <w:t>E. 2</w:t>
      </w:r>
    </w:p>
    <w:p>
      <w:r>
        <w:t>Secondo l’art. 44 PP, la detenzione preventiva si giustifica allorquando esi- stono gravi indizi di colpevolezza a carico dell’imputato, se esiste presun- zione della sua imminente fuga e/o determinate circostanze fanno presu- mere ch’egli voglia far scomparire le tracce del reato od indurre testimoni o coimputati a fare false dichiarazioni o voglia compromettere in qualsiasi al- tro modo il risultato dell’istruttoria. Si tratta dunque di analizzare se tali con- dizioni cumulative sono adempiute nella fattispecie.</w:t>
      </w:r>
    </w:p>
    <w:p>
      <w:r>
        <w:rPr>
          <w:b/>
        </w:rPr>
        <w:t>E. 2.1</w:t>
      </w:r>
    </w:p>
    <w:p>
      <w:r>
        <w:t>Nel merito, il reclamante lamenta l’assenza di gravi indizi di colpevolezza atti a giustificare il mantenimento della detenzione preventiva. Egli sostiene che il MPC non è stato sinora in grado di sostanziare con documentazione probante l’ipotesi di appartenenza e/o sostegno ad organizzazione crimina- le ai sensi dell’art. 260ter CP, per cui, visto anche il lasso di tempo intercor- so dal suo arresto, non vi sarebbero più le condizioni per mantenerlo in carcere. Di avviso diametralmente opposto è invece il MPC, secondo cui gli atti sinora raccolti dimostrerebbero invece il coinvolgimento attivo del re- clamante in tutte le attività delittuose dell’organizzazione sotto inchiesta.</w:t>
      </w:r>
    </w:p>
    <w:p>
      <w:r>
        <w:rPr>
          <w:b/>
        </w:rPr>
        <w:t>E. 2.2</w:t>
      </w:r>
    </w:p>
    <w:p>
      <w:r>
        <w:t>La censura non ha pregio. Dagli atti sinora esperiti emerge infatti con suffi- ciente evidenza che il reclamante ha intrattenuto strette relazioni - che tra- valicano palesemente quelle di una semplice e disinteressata amicizia - con alcuni dei principali esponenti dell’organizzazione sotto inchiesta, tra i quali B.______ e C.______; quest’ultimo ha in particolare riferito più volte di aver trafficato sostanza stupefacente con A.______ (act. 9.5, v. anche sentenza BK_B 119/04 del 23 settembre 2004, consid. 3). Malgrado le evi- denti reticenze dell’indagato, vi sono inoltre agli atti chiare indicazioni di in- tensi contatti telefonici e personali, in Svizzera e durante viaggi in Italia, con altri esponenti di spicco dell’organizzazione quali D.______, pure indagato nell’ambito dell’inchiesta portata avanti dalla Procura di Catanzaro sull’attività della cosiddetta “cosca di Z.______” (v. verbale di interrogatorio del reclamante dell’11 novembre 2004, act. 9.1). Nel corso degli ultimi tem- pi sono inoltre emerse chiare indicazioni di una partecipazione del recla- mante a reati di usura, reati che non possono essere considerati come epi-</w:t>
      </w:r>
    </w:p>
    <w:p>
      <w:r>
        <w:t>- 5 -</w:t>
      </w:r>
    </w:p>
    <w:p>
      <w:r>
        <w:t>sodi a sé stanti, ma che si inquadrano in un contesto associativo (v. act. 9.1 e 9.2). La situazione in merito all’esistenza di gravi indizi di colpevolezza giustifi- canti la detenzione (o la sua proroga) va apprezzata in modo diverso a se- conda se l’inchiesta riguardi un solo indagato a cui vengono imputati fatti relativamente semplici e circoscritti nel tempo oppure se - come nella fatti- specie - l’indagato è sospettato di far parte di un’organizzazione criminale che ha agito a livello transnazionale per parecchi anni e sul cui conto gra- vano accuse di vario tipo. Quanto precedentemente esposto porta comun- que a ritenere come sufficientemente assodata la presenza di gravi indizi di colpevolezza a carico dell’indagato anche per quanto riguarda l’accusa di partecipazione e/o sostegno ad organizzazione criminale ai sensi dell’art. 260ter CP.</w:t>
      </w:r>
    </w:p>
    <w:p>
      <w:r>
        <w:rPr>
          <w:b/>
        </w:rPr>
        <w:t>E. 3</w:t>
      </w:r>
    </w:p>
    <w:p>
      <w:r>
        <w:t>Il reclamante contesta una volta di più la presenza di un pericolo di collu- sione, ritenendo che non vi siano motivi per temere che - una volta posto al beneficio della libertà - egli possa impedire o ostacolare l’operato delle au- torità inquirenti. Nel caso concreto il riferimento ad un potenziale pericolo di collusione e di inquinamento delle prove non è tuttavia fuori luogo, come evidenziato an- che nei precedenti giudizi riguardanti il qui reclamante resi negli scorsi mesi da questa Corte e alle cui argomentazioni si può senz’altro rinviare per e- conomia procedurale (v. sentenza BK_H 115/04 del 3 settembre 2004, con- sid. 2.3 e 2.4.2; sentenza BK_H 119/04 del 23 settembre 2004, consid. 5.2; sentenza BK_B 151/04 dell’8 ottobre 2004, consid. 2.2). Non è affatto da escludere che se rimesso in libertà, il reclamante possa dare istruzioni o tentare di comunicare informazioni utili per altri soggetti implicati nell’in- chiesta. L’esistenza di tale pericolo è d’altronde stata dimostrata dall’inter- cettazione da parte dell’autorità inquirente di corrispondenza in parte di ca- rattere collusivo tra l’imputato e il proprio difensore (v. lettera del 16 no- vembre 2004, act. 9.4) e tra l’imputato e la moglie (v. sentenza BK_B 194/04 del 23 novembre 2004, consid. 4). Va inoltre segnalato che l’atteggiamento del reclamante in sede di interrogatorio, sinora improntato a grande reticenza, se effettivamente non può deporre a suo sfavore avendo da tempo dottrina e giurisprudenza riconosciuto il diritto al silenzio di un imputato (DTF 121 II 257 consid. 4a; HAUSER/SCHWERI, Schweizerisches Strafprozessrecht, 5a ediz., Basilea 2002, § 68 n° 13, pag. 303), non giova certo ad un avanzamento celere dell’inchiesta ed al chiarimento della sua posizione processuale.</w:t>
      </w:r>
    </w:p>
    <w:p>
      <w:r>
        <w:t>- 6 -</w:t>
      </w:r>
    </w:p>
    <w:p>
      <w:r>
        <w:rPr>
          <w:b/>
        </w:rPr>
        <w:t>E. 4</w:t>
      </w:r>
    </w:p>
    <w:p>
      <w:r>
        <w:t>Il reclamante sostiene infine di non avere nessun motivo di fuggire, il centro dei suoi interessi affettivi ed economici essendo in Svizzera. Ad ogni modo, il pericolo di fuga non sarebbe né concreto né supportato da fatti precisi e potrebbe essere scongiurato con provvedimenti meno restrittivi della de- tenzione preventiva quali la prestazione di una cauzione e il deposito dei documenti. Il MPC contesta tali affermazioni e dichiara che gli ultimi svilup- pi dell’inchiesta porterebbero ad aggravare la posizione del reclamante per cui l’eventualità di una lunga pena da espiare accompagnata dalla possibili- tà di vivere la propria latitanza altrove grazie alla struttura logistica dell’organizzazione criminale di cui il reclamante farebbe parte costituireb- bero degli elementi importanti atti a dimostrare il reale pericolo di fuga. La Corte dei reclami penali ritiene fondato il pericolo di fuga invocato dall’autorità inquirente. I reati contestati al reclamante sono gravi, fatto ammesso peraltro anche dal reclamante stesso. Se questi dovessero esse- re confermati, la pena potrebbe essere molto pesante, nonostante l’incen- suratezza invocata. È vero che il reclamante, sposato e con tre figli in età prescolastica, vive da una decina d’anni in Svizzera, dove gestisce un ritro- vo pubblico. Ciononostante, egli ha dichiarato nel corso dei primi interroga- tori di recarsi ogni anno a Z.______ (Italia), suo paese d’origine e dove ha vissuto fino all’età di diciannove anni, per le ferie. In questa località, egli ha ancora dei parenti (i genitori, due fratelli e una sorella) e un appartamento. Questi elementi dimostrano che il reclamante ha comunque conservato dei legami importanti con il suo paese d’origine. Questo insieme di circostanze, accompagnate dal fatto che l’organizzazione criminale di cui il reclamante è accusato di far parte (la N’drangheta calabrese) è effettivamente in grado, come affermato dall’autorità inquirente, di garantire periodi di latitanza rela- tivamente lunghi ai propri affiliati, permette di affermare che, al fine di evita- re una fuga a questo punto non solo possibile ma verosimile, è necessario confermare la detenzione preventiva dell’imputato. Nemmeno l’adozione di misure sostitutive meno coercitive come quelle postulate in via subordinata nel gravame permetterebbe di eliminare il rischio di fuga appena descritto.</w:t>
      </w:r>
    </w:p>
    <w:p>
      <w:r>
        <w:rPr>
          <w:b/>
        </w:rPr>
        <w:t>E. 5</w:t>
      </w:r>
    </w:p>
    <w:p>
      <w:r>
        <w:t>Visto quanto precede, il reclamo deve essere respinto in via principale co- me in quella subordinata. Conformemente al nuovo art. 245 PP, in vigore dal 1° aprile 2004, le spese processuali sono poste a carico della parte soc- combente (art. 156 cpv. 1 OG); queste sono calcolate giusta l’art. 3 del Re- golamento sulle tasse di giustizia del Tribunale penale federale (RS 173.711.32) e ammontano nella fattispecie a fr. 1’500.--. Dedotto l’anticipo spese di fr. 500.-- già pervenuto, il reclamante dovrà versare il saldo di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